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0B8" w:rsidRPr="007510B8" w:rsidRDefault="007510B8" w:rsidP="007510B8">
      <w:pPr>
        <w:shd w:val="clear" w:color="auto" w:fill="FFFFFF"/>
        <w:spacing w:before="120" w:after="120" w:line="234" w:lineRule="atLeast"/>
        <w:jc w:val="both"/>
        <w:rPr>
          <w:rFonts w:ascii="Arial" w:eastAsia="Times New Roman" w:hAnsi="Arial" w:cs="Arial"/>
          <w:color w:val="000000"/>
          <w:kern w:val="0"/>
          <w:sz w:val="20"/>
          <w:szCs w:val="20"/>
          <w14:ligatures w14:val="none"/>
        </w:rPr>
      </w:pPr>
    </w:p>
    <w:p w:rsidR="007510B8" w:rsidRPr="007510B8" w:rsidRDefault="007510B8" w:rsidP="007510B8">
      <w:pPr>
        <w:shd w:val="clear" w:color="auto" w:fill="FFFFFF"/>
        <w:spacing w:before="120" w:after="120" w:line="234" w:lineRule="atLeast"/>
        <w:jc w:val="center"/>
        <w:rPr>
          <w:rFonts w:ascii="Arial" w:eastAsia="Times New Roman" w:hAnsi="Arial" w:cs="Arial"/>
          <w:color w:val="000000"/>
          <w:kern w:val="0"/>
          <w:sz w:val="20"/>
          <w:szCs w:val="20"/>
          <w14:ligatures w14:val="none"/>
        </w:rPr>
      </w:pPr>
      <w:bookmarkStart w:id="0" w:name="_GoBack"/>
      <w:r w:rsidRPr="007510B8">
        <w:rPr>
          <w:rFonts w:ascii="Arial" w:eastAsia="Times New Roman" w:hAnsi="Arial" w:cs="Arial"/>
          <w:b/>
          <w:bCs/>
          <w:color w:val="000000"/>
          <w:kern w:val="0"/>
          <w:sz w:val="20"/>
          <w:szCs w:val="20"/>
          <w14:ligatures w14:val="none"/>
        </w:rPr>
        <w:t>PHỤ LỤC VII</w:t>
      </w:r>
    </w:p>
    <w:p w:rsidR="007510B8" w:rsidRPr="007510B8" w:rsidRDefault="007510B8" w:rsidP="007510B8">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7510B8">
        <w:rPr>
          <w:rFonts w:ascii="Arial" w:eastAsia="Times New Roman" w:hAnsi="Arial" w:cs="Arial"/>
          <w:b/>
          <w:bCs/>
          <w:color w:val="000000"/>
          <w:kern w:val="0"/>
          <w:sz w:val="20"/>
          <w:szCs w:val="20"/>
          <w14:ligatures w14:val="none"/>
        </w:rPr>
        <w:t>TRÌNH TỰ, THỦ TỤC TRONG LĨNH VỰC VẬT LIỆU NỔ CÔNG NGHIỆP</w:t>
      </w:r>
      <w:bookmarkEnd w:id="0"/>
      <w:r w:rsidRPr="007510B8">
        <w:rPr>
          <w:rFonts w:ascii="Arial" w:eastAsia="Times New Roman" w:hAnsi="Arial" w:cs="Arial"/>
          <w:b/>
          <w:bCs/>
          <w:color w:val="000000"/>
          <w:kern w:val="0"/>
          <w:sz w:val="20"/>
          <w:szCs w:val="20"/>
          <w14:ligatures w14:val="none"/>
        </w:rPr>
        <w:br/>
      </w:r>
      <w:r w:rsidRPr="007510B8">
        <w:rPr>
          <w:rFonts w:ascii="Arial" w:eastAsia="Times New Roman" w:hAnsi="Arial" w:cs="Arial"/>
          <w:i/>
          <w:iCs/>
          <w:color w:val="000000"/>
          <w:kern w:val="0"/>
          <w:sz w:val="20"/>
          <w:szCs w:val="20"/>
          <w14:ligatures w14:val="none"/>
        </w:rPr>
        <w:t>(Kèm theo Nghị định số 146/2025/NĐ-CP ngày 12 tháng 6 năm 2025 của Chính phủ)</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b/>
          <w:bCs/>
          <w:color w:val="000000"/>
          <w:kern w:val="0"/>
          <w:sz w:val="20"/>
          <w:szCs w:val="20"/>
          <w14:ligatures w14:val="none"/>
        </w:rPr>
        <w:t>1. Trình tự, thủ tục giao nhiệm vụ sản xuất, kinh doanh vật liệu nổ công nghiệp thực hiện như sau:</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a) Hồ sơ đề nghị giao nhiệm vụ sản xuất bao gồm: Văn bản đề nghị, trong đó ghi rõ tên, địa chỉ của cơ quan, tổ chức, doanh nghiệp sản xuất vật liệu nổ công nghiệp; số quyết định thành lập tổ chức, doanh nghiệp hoặc số giấy chứng nhận đăng ký doanh nghiệp, số giấy chứng nhận đủ điều kiện về an ninh, trật tự, số quyết định của Bộ trưởng Bộ Công Thương công nhận kết quả đăng ký của sản phẩm và đưa sản phẩm vật liệu nổ công nghiệp vào danh mục vật liệu nổ công nghiệp được phép sản xuất, kinh doanh và sử dụng ở Việt Nam đối với vật liệu nổ công nghiệp mới sản xuất, sử dụng ở Việt Nam, số giấy phép môi trường; tài liệu chứng minh việc đáp ứng điều kiện sản xuất vật liệu nổ công nghiệp quy định tại khoản 2 Điều 34 Luật Quản lý, sử dụng vũ khí, vật liệu nổ và công cụ hỗ trợ;</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b) Hồ sơ đề nghị giao nhiệm vụ kinh doanh vật liệu nổ công nghiệp bao gồm: Văn bản đề nghị, trong đó ghi rõ tên, địa chỉ của cơ quan, tổ chức, doanh nghiệp sản xuất vật liệu nổ công nghiệp, số quyết định thành lập tổ chức, doanh nghiệp hoặc số giấy chứng nhận đăng ký doanh nghiệp, số giấy chứng nhận đủ điều kiện về an ninh, trật tự; địa điểm kinh doanh; tài liệu chứng minh việc đáp ứng điều kiện kinh doanh vật liệu nổ công nghiệp quy định tại khoản 3 Điều 34 Luật Quản lý, sử dụng vũ khí, vật liệu nổ và công cụ hỗ trợ;</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c) Hồ sơ đề nghị quy định tại điểm a, b khoản này nộp trực tiếp hoặc qua đường bưu chính hoặc qua Cổng dịch vụ công quốc gia, Hệ thống thông tin giải quyết thủ tục hành chính của các Bộ Công Thương, Bộ Công an, Bộ Quốc phòng hoặc gửi về cơ quan có thẩm quyền do Bộ trưởng Bộ Công Thương, Bộ trưởng Bộ Công an, Bộ trưởng Bộ Quốc phòng quy định và tổ chức thực hiện;</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d) Trong thời hạn 03 ngày làm việc kể từ ngày nhận đủ hồ sơ, Bộ Công Thương, Bộ Công an, Bộ Quốc phòng lấy ý kiến của cơ quan có liên quan (nếu có) đối với đề nghị giao nhiệm vụ sản xuất, kinh doanh vật liệu nổ công nghiệp của tổ chức, doanh nghiệp;</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đ) Thời gian lấy ý kiến đối đa 07 ngày làm việc, không kể thời gian gửi và nhận văn bản và không tính vào thời gian cấp phép. Quá thời hạn trên, nếu cơ quan được lấy ý kiến không có ý kiến góp ý bằng văn bản thì được coi là đồng ý với đề nghị;</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e) Trong thời hạn 03 ngày làm việc kể từ ngày hết hạn lấy ý kiến, Bộ trưởng Bộ Công Thương, Bộ trưởng Bộ Công an, Bộ trưởng Bộ Quốc phòng có văn bản giao nhiệm vụ sản xuất, kinh doanh vật liệu nổ công nghiệp; trường hợp không giao nhiệm vụ sản xuất, kinh doanh vật liệu nổ công nghiệp phải trả lời bằng văn bản và nêu rõ lý do.</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b/>
          <w:bCs/>
          <w:color w:val="000000"/>
          <w:kern w:val="0"/>
          <w:sz w:val="20"/>
          <w:szCs w:val="20"/>
          <w14:ligatures w14:val="none"/>
        </w:rPr>
        <w:t>2. Trình tự, thủ tục ban hành văn bản đề nghị cấp giấy phép dịch vụ nổ mìn trên thềm lục địa hoặc dịch vụ nổ mìn có phạm vi hoạt động trên toàn lãnh thổ nước Cộng hòa xã hội chủ nghĩa Việt Nam thực hiện như sau:</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a) Hồ sơ đề nghị ban hành văn bản đề nghị cấp giấy phép dịch vụ nổ mìn trên thềm lục địa hoặc dịch vụ nổ mìn có phạm vi hoạt động trên toàn lãnh thổ nước Cộng hòa xã hội chủ nghĩa Việt Nam, bao gồm: Văn bản đề nghị, trong đó rõ tên, địa chỉ tổ chức, doanh nghiệp; lý do; số quyết định thành lập tổ chức hoặc số giấy chứng nhận đăng ký doanh nghiệp; số giấy chứng nhận đủ điều kiện về an ninh, trật tự; tài liệu chứng minh việc đáp ứng điều kiện thực hiện hoạt động dịch vụ nổ mìn quy định tại khoản 2 Điều 40 Luật Quản lý, sử dụng vũ khí, vật liệu nổ và công cụ hỗ trợ; Đối với doanh nghiệp thuộc Bộ Quốc phòng phải có văn bản đề nghị của Bộ Quốc phòng hoặc cơ quan được Bộ trưởng Bộ Quốc phòng giao nhiệm vụ quản lý vật liệu nổ công nghiệp;</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b) Văn bản đề nghị quy định tại điểm a khoản này nộp trên Cổng dịch vụ công quốc gia, Hệ thống thông tin giải quyết thủ tục hành chính của Ủy ban nhân dân cấp tỉnh hoặc gửi qua đường bưu chính hoặc nộp trực tiếp về cơ quan có thẩm quyền do Ủy ban nhân dân cấp tỉnh quy định;</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lastRenderedPageBreak/>
        <w:t>c) Trong thời hạn 07 ngày làm việc kể từ ngày nhận đủ hồ sơ, Ủy ban nhân dân cấp tỉnh có văn bản đề nghị đề nghị cấp giấy phép dịch vụ nổ mìn trên thềm lục địa hoặc dịch vụ nổ mìn có phạm vi hoạt động trên toàn lãnh thổ nước Cộng hòa xã hội chủ nghĩa Việt Nam; trường hợp ban hành văn bản đề nghị phải trả lời bằng văn bản và nêu rõ lý do.</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b/>
          <w:bCs/>
          <w:color w:val="000000"/>
          <w:kern w:val="0"/>
          <w:sz w:val="20"/>
          <w:szCs w:val="20"/>
          <w14:ligatures w14:val="none"/>
        </w:rPr>
        <w:t>3. Trình tự, thủ tục huấn luyện, kiểm tra, cấp giấy chứng nhận huấn luyện kỹ thuật an toàn vật liệu nổ công nghiệp cho người quản lý thực hiện như sau:</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a) Hồ sơ đề nghị huấn luyện, kiểm tra, cấp giấy chứng nhận huấn luyện kỹ thuật an toàn vật liệu nổ công nghiệp cho người quản lý theo quy định tại điểm a khoản 1 Điều 9 Nghị định số 181/2024/NĐ-CP;</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b) Trong thời hạn 05 ngày làm việc, kể từ ngày nhận được hồ sơ đầy đủ, hợp lệ, Ủy ban nhân dân cấp tỉnh phải thông báo kế hoạch huấn luyện, kiểm tra cho tổ chức, doanh nghiệp đề nghị; trường hợp hồ sơ không đầy đủ, hợp lệ, trong thời hạn 02 ngày làm việc kể từ ngày nhận được hồ sơ, Ủy ban nhân dân cấp tỉnh phải trả lời bằng văn bản và nêu rõ lý do;</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c) Trong thời hạn 10 ngày làm việc, kể từ ngày thông báo kế hoạch huấn luyện, kiểm tra, Ủy ban nhân dân cấp tỉnh phải tổ chức huấn luyện, kiểm tra.</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Nội dung kiểm tra phải phù hợp với nội dung huấn luyện quy định tại Điều 7 Nghị định số 181/2024/NĐ-CP; giấy chứng nhận huấn luyện kỹ thuật an toàn vật liệu nổ công nghiệp được cấp cho các đối tượng có kết quả kiểm tra từ 6/10 điểm trở lên;</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d) Trong thời hạn 05 ngày làm việc kể từ ngày kết thúc kiểm tra, cơ Ủy ban nhân dân cấp tỉnh thực hiện cấp giấy chứng nhận huấn luyện kỹ thuật an toàn vật liệu nổ công nghiệp theo Mẫu số 03 tại Phụ lục ban hành kèm theo Nghị định số 181/2024/NĐ-CP.</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b/>
          <w:bCs/>
          <w:color w:val="000000"/>
          <w:kern w:val="0"/>
          <w:sz w:val="20"/>
          <w:szCs w:val="20"/>
          <w14:ligatures w14:val="none"/>
        </w:rPr>
        <w:t>4. Trình tự, thủ tục kiểm tra, cấp giấy chứng nhận huấn luyện kỹ thuật an toàn vật liệu nổ công nghiệp cho người liên quan đến sản xuất, kinh doanh, sử dụng vật liệu nổ công nghiệp, trừ người quản lý thực hiện như sau:</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a) Hồ sơ đề nghị kiểm tra, cấp giấy chứng nhận huấn luyện kỹ thuật an toàn vật liệu nổ công nghiệp theo quy định tại điểm a khoản 2 Điều 9 Nghị định số 181/2024/NĐ-CP;</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b) Trong thời hạn 05 ngày làm việc, kể từ ngày nhận được hồ sơ đầy đủ, hợp lệ, Ủy ban nhân dân cấp tỉnh phải thông báo kế hoạch kiểm tra cho tổ chức, doanh nghiệp đề nghị; trường hợp hồ sơ không đầy đủ, hợp lệ, trong thời hạn 02 ngày làm việc, kể từ ngày nhận được hồ sơ Ủy ban nhân dân cấp tỉnh phải trả lời bằng văn bản và nêu rõ lý do;</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c) Trong thời hạn 10 ngày làm việc, kể từ ngày thông báo kế hoạch kiểm tra, Ủy ban nhân dân cấp tỉnh phải tổ chức kiểm tra.</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Nội dung kiểm tra phải phù hợp với nội dung huấn luyện quy định tại Điều 7 Nghị định số 181/2024/NĐ-CP; giấy chứng nhận huấn luyện kỹ thuật an toàn vật liệu nổ công nghiệp được cấp cho các đối tượng có kết quả kiểm tra từ 6/10 điểm trở lên;</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d) Trong thời hạn 05 ngày làm việc kể từ ngày kết thúc kiểm tra, Ủy ban nhân dân cấp tỉnh thực hiện cấp giấy chứng nhận huấn luyện kỹ thuật an toàn vật liệu nổ công nghiệp theo Mẫu số 03 tại Phụ lục ban hành kèm theo Nghị định số 181/2024/NĐ-CP.</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b/>
          <w:bCs/>
          <w:color w:val="000000"/>
          <w:kern w:val="0"/>
          <w:sz w:val="20"/>
          <w:szCs w:val="20"/>
          <w14:ligatures w14:val="none"/>
        </w:rPr>
        <w:t>5. Trình tự, thủ tục cấp lại giấy chứng nhận huấn luyện kỹ thuật an toàn vật liệu nổ công nghiệp thực hiện như sau:</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a) Giấy chứng nhận huấn luyện kỹ thuật an toàn vật liệu nổ công nghiệp được cấp lại trong các trường hợp sau: Bị mất, hư hỏng, có sự thay đổi thông tin ghi trên giấy chứng nhận huấn luyện;</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b) Giấy chứng nhận huấn luyện kỹ thuật an toàn vật liệu nổ công nghiệp được cấp lại có thời hạn hiệu lực như giấy chứng nhận huấn luyện đã cấp trước đó;</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c) Hồ sơ đề nghị cấp lại giấy chứng nhận huấn luyện kỹ thuật an toàn vật liệu nổ công nghiệp theo quy đinh tại điểm c khoản 3 Điều 9 Nghị định số 181/2024/NĐ-CP;</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 xml:space="preserve">d) Trong thời hạn 03 ngày làm việc kể từ ngày nhận được hồ sơ đầy đủ, hợp lệ, Ủy ban nhân dân cấp tỉnh cấp lại giấy chứng nhận huấn luyện kỹ thuật an toàn; trường hợp hồ sơ không đầy đủ, hợp lệ, </w:t>
      </w:r>
      <w:r w:rsidRPr="007510B8">
        <w:rPr>
          <w:rFonts w:ascii="Arial" w:eastAsia="Times New Roman" w:hAnsi="Arial" w:cs="Arial"/>
          <w:color w:val="000000"/>
          <w:kern w:val="0"/>
          <w:sz w:val="20"/>
          <w:szCs w:val="20"/>
          <w14:ligatures w14:val="none"/>
        </w:rPr>
        <w:lastRenderedPageBreak/>
        <w:t>trong thời hạn 02 ngày làm việc, kể từ ngày nhận được hồ sơ, Ủy ban nhân dân cấp tỉnh phải trả lời bằng văn bản và nêu rõ lý do.</w:t>
      </w:r>
    </w:p>
    <w:p w:rsidR="007510B8"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6. Hồ sơ cấp, cấp lại giấy chứng nhận huấn luyện kỹ thuật an toàn vật liệu nổ công nghiệp nộp 01 bộ trên Cổng dịch vụ công quốc gia, Hệ thống thông tin giải quyết thủ tục hành chính của tỉnh, thành phố trực thuộc trung ương hoặc gửi qua đường bưu chính hoặc nộp trực tiếp tại cơ quan có thẩm quyền do Ủy ban nhân dân cấp tỉnh quy định.</w:t>
      </w:r>
    </w:p>
    <w:p w:rsidR="00B777E5" w:rsidRPr="007510B8" w:rsidRDefault="007510B8" w:rsidP="007510B8">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7510B8">
        <w:rPr>
          <w:rFonts w:ascii="Arial" w:eastAsia="Times New Roman" w:hAnsi="Arial" w:cs="Arial"/>
          <w:color w:val="000000"/>
          <w:kern w:val="0"/>
          <w:sz w:val="20"/>
          <w:szCs w:val="20"/>
          <w14:ligatures w14:val="none"/>
        </w:rPr>
        <w:t>7. Giấy chứng nhận huấn luyện kỹ thuật an toàn vật liệu nổ công nghiệp có hiệu lực trong thời hạn 02 năm kể từ ngày cấp và có giá trị trên phạm vi toàn quốc.</w:t>
      </w:r>
    </w:p>
    <w:sectPr w:rsidR="00B777E5" w:rsidRPr="007510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1B42A0"/>
    <w:rsid w:val="002B64B5"/>
    <w:rsid w:val="003F3CDB"/>
    <w:rsid w:val="004E5810"/>
    <w:rsid w:val="007510B8"/>
    <w:rsid w:val="00B777E5"/>
    <w:rsid w:val="00CF1546"/>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1256</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2025-09-05T02:52:00Z</dcterms:created>
  <dcterms:modified xsi:type="dcterms:W3CDTF">2025-09-05T02:52:00Z</dcterms:modified>
</cp:coreProperties>
</file>